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C9" w:rsidRPr="00606FFE" w:rsidRDefault="00334DC9" w:rsidP="00334DC9">
      <w:pPr>
        <w:jc w:val="center"/>
      </w:pPr>
      <w:r w:rsidRPr="00606FFE">
        <w:rPr>
          <w:noProof/>
          <w:lang w:eastAsia="hr-HR"/>
        </w:rPr>
        <w:drawing>
          <wp:inline distT="0" distB="0" distL="0" distR="0">
            <wp:extent cx="50292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FFE">
        <w:fldChar w:fldCharType="begin"/>
      </w:r>
      <w:r w:rsidRPr="00606FFE">
        <w:instrText xml:space="preserve"> INCLUDEPICTURE "http://www.inet.hr/~box/images/grb-rh.gif" \* MERGEFORMATINET </w:instrText>
      </w:r>
      <w:r w:rsidRPr="00606FFE">
        <w:fldChar w:fldCharType="end"/>
      </w:r>
    </w:p>
    <w:p w:rsidR="00334DC9" w:rsidRDefault="00334DC9" w:rsidP="00334DC9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334DC9">
        <w:rPr>
          <w:rFonts w:ascii="Times New Roman" w:hAnsi="Times New Roman" w:cs="Times New Roman"/>
          <w:sz w:val="28"/>
        </w:rPr>
        <w:t>VLADA REPUBLIKE HRVATSKE</w:t>
      </w:r>
    </w:p>
    <w:p w:rsidR="00334DC9" w:rsidRPr="00334DC9" w:rsidRDefault="00334DC9" w:rsidP="00334DC9">
      <w:pPr>
        <w:jc w:val="both"/>
        <w:rPr>
          <w:rFonts w:ascii="Times New Roman" w:hAnsi="Times New Roman" w:cs="Times New Roman"/>
        </w:rPr>
      </w:pPr>
    </w:p>
    <w:p w:rsidR="00334DC9" w:rsidRPr="00334DC9" w:rsidRDefault="00334DC9" w:rsidP="00334DC9">
      <w:pPr>
        <w:jc w:val="right"/>
        <w:rPr>
          <w:rFonts w:ascii="Times New Roman" w:hAnsi="Times New Roman" w:cs="Times New Roman"/>
          <w:sz w:val="24"/>
          <w:szCs w:val="24"/>
        </w:rPr>
      </w:pPr>
      <w:r w:rsidRPr="00334DC9">
        <w:rPr>
          <w:rFonts w:ascii="Times New Roman" w:hAnsi="Times New Roman" w:cs="Times New Roman"/>
          <w:sz w:val="24"/>
          <w:szCs w:val="24"/>
        </w:rPr>
        <w:t>Zagreb, 19. studenoga 2020.</w:t>
      </w:r>
    </w:p>
    <w:p w:rsidR="00334DC9" w:rsidRPr="00334DC9" w:rsidRDefault="00334DC9" w:rsidP="00334DC9">
      <w:pPr>
        <w:jc w:val="right"/>
        <w:rPr>
          <w:rFonts w:ascii="Times New Roman" w:hAnsi="Times New Roman" w:cs="Times New Roman"/>
        </w:rPr>
      </w:pPr>
    </w:p>
    <w:p w:rsidR="00334DC9" w:rsidRPr="00606FFE" w:rsidRDefault="00334DC9" w:rsidP="00334DC9">
      <w:pPr>
        <w:jc w:val="right"/>
      </w:pPr>
    </w:p>
    <w:p w:rsidR="00334DC9" w:rsidRPr="00334DC9" w:rsidRDefault="00334DC9" w:rsidP="00334DC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34DC9" w:rsidRPr="00334DC9" w:rsidRDefault="00334DC9" w:rsidP="00334DC9">
      <w:pPr>
        <w:jc w:val="both"/>
        <w:rPr>
          <w:rFonts w:ascii="Times New Roman" w:hAnsi="Times New Roman" w:cs="Times New Roman"/>
          <w:sz w:val="24"/>
          <w:szCs w:val="24"/>
        </w:rPr>
      </w:pPr>
      <w:r w:rsidRPr="00334DC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12F49">
        <w:rPr>
          <w:rFonts w:ascii="Times New Roman" w:hAnsi="Times New Roman" w:cs="Times New Roman"/>
          <w:sz w:val="24"/>
          <w:szCs w:val="24"/>
        </w:rPr>
        <w:t>__</w:t>
      </w:r>
      <w:r w:rsidRPr="00334DC9">
        <w:rPr>
          <w:rFonts w:ascii="Times New Roman" w:hAnsi="Times New Roman" w:cs="Times New Roman"/>
          <w:sz w:val="24"/>
          <w:szCs w:val="24"/>
        </w:rPr>
        <w:t>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334DC9" w:rsidRPr="00334DC9" w:rsidTr="00177FDB">
        <w:tc>
          <w:tcPr>
            <w:tcW w:w="1951" w:type="dxa"/>
            <w:shd w:val="clear" w:color="auto" w:fill="auto"/>
          </w:tcPr>
          <w:p w:rsidR="00334DC9" w:rsidRPr="00334DC9" w:rsidRDefault="00334DC9" w:rsidP="00177F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DC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Predlagatelj</w:t>
            </w:r>
            <w:r w:rsidRPr="00334D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34DC9" w:rsidRPr="00334DC9" w:rsidRDefault="00334DC9" w:rsidP="0017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Ministarstvo obrane</w:t>
            </w:r>
          </w:p>
        </w:tc>
      </w:tr>
    </w:tbl>
    <w:p w:rsidR="00334DC9" w:rsidRPr="00334DC9" w:rsidRDefault="00334DC9" w:rsidP="00334DC9">
      <w:pPr>
        <w:jc w:val="both"/>
        <w:rPr>
          <w:rFonts w:ascii="Times New Roman" w:hAnsi="Times New Roman" w:cs="Times New Roman"/>
          <w:sz w:val="24"/>
          <w:szCs w:val="24"/>
        </w:rPr>
      </w:pPr>
      <w:r w:rsidRPr="00334DC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12F49">
        <w:rPr>
          <w:rFonts w:ascii="Times New Roman" w:hAnsi="Times New Roman" w:cs="Times New Roman"/>
          <w:sz w:val="24"/>
          <w:szCs w:val="24"/>
        </w:rPr>
        <w:t>___</w:t>
      </w:r>
      <w:r w:rsidRPr="00334DC9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334DC9" w:rsidRPr="00334DC9" w:rsidTr="00177FDB">
        <w:tc>
          <w:tcPr>
            <w:tcW w:w="1951" w:type="dxa"/>
            <w:shd w:val="clear" w:color="auto" w:fill="auto"/>
          </w:tcPr>
          <w:p w:rsidR="00334DC9" w:rsidRPr="00334DC9" w:rsidRDefault="00334DC9" w:rsidP="00177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DC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Predmet</w:t>
            </w:r>
            <w:r w:rsidRPr="00334D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34DC9" w:rsidRPr="00334DC9" w:rsidRDefault="00334DC9" w:rsidP="00334DC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334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acrt </w:t>
            </w:r>
            <w:r w:rsidRPr="00334D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prijedloga odluke </w:t>
            </w:r>
            <w:r w:rsidRPr="00334D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 sudjelovanju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Pr="00334D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ružanih snaga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</w:t>
            </w:r>
            <w:r w:rsidRPr="00334D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epublike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</w:t>
            </w:r>
            <w:r w:rsidRPr="00334D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rvatske u sklopu aktivnosti ojačane prednje prisutnosti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NATO</w:t>
            </w:r>
            <w:r w:rsidRPr="00334D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-a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</w:t>
            </w:r>
            <w:r w:rsidRPr="00334D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epublici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Pr="00334DC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oljskoj </w:t>
            </w:r>
          </w:p>
        </w:tc>
      </w:tr>
    </w:tbl>
    <w:p w:rsidR="00334DC9" w:rsidRPr="00606FFE" w:rsidRDefault="00334DC9" w:rsidP="00334DC9">
      <w:pPr>
        <w:jc w:val="both"/>
      </w:pPr>
      <w:r w:rsidRPr="00606FFE">
        <w:t>_________________________________________________________________</w:t>
      </w:r>
      <w:r>
        <w:t>________</w:t>
      </w:r>
      <w:r w:rsidRPr="00606FFE">
        <w:t>________</w:t>
      </w:r>
      <w:r w:rsidR="00E12F49">
        <w:t>__</w:t>
      </w:r>
      <w:r w:rsidRPr="00606FFE">
        <w:t>_</w:t>
      </w:r>
    </w:p>
    <w:p w:rsidR="00334DC9" w:rsidRPr="00606FFE" w:rsidRDefault="00334DC9" w:rsidP="00334DC9">
      <w:pPr>
        <w:jc w:val="both"/>
      </w:pPr>
    </w:p>
    <w:p w:rsidR="00334DC9" w:rsidRDefault="00334DC9" w:rsidP="00334DC9"/>
    <w:p w:rsidR="00334DC9" w:rsidRDefault="00334DC9" w:rsidP="00334DC9"/>
    <w:p w:rsidR="00334DC9" w:rsidRDefault="00334DC9" w:rsidP="00334DC9"/>
    <w:p w:rsidR="00334DC9" w:rsidRPr="00606FFE" w:rsidRDefault="00334DC9" w:rsidP="00334DC9"/>
    <w:p w:rsidR="00334DC9" w:rsidRPr="00606FFE" w:rsidRDefault="00334DC9" w:rsidP="00334DC9"/>
    <w:p w:rsidR="00334DC9" w:rsidRPr="00606FFE" w:rsidRDefault="00334DC9" w:rsidP="00334DC9"/>
    <w:p w:rsidR="00334DC9" w:rsidRPr="00334DC9" w:rsidRDefault="00EB70EF" w:rsidP="00334DC9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color w:val="404040"/>
          <w:spacing w:val="20"/>
          <w:sz w:val="20"/>
        </w:rPr>
      </w:pPr>
      <w:r>
        <w:rPr>
          <w:color w:val="404040"/>
          <w:spacing w:val="20"/>
          <w:sz w:val="20"/>
        </w:rPr>
        <w:t xml:space="preserve">  </w:t>
      </w:r>
      <w:r>
        <w:rPr>
          <w:rFonts w:ascii="Times New Roman" w:hAnsi="Times New Roman" w:cs="Times New Roman"/>
          <w:color w:val="404040"/>
          <w:spacing w:val="20"/>
          <w:sz w:val="20"/>
        </w:rPr>
        <w:t xml:space="preserve"> </w:t>
      </w:r>
      <w:r w:rsidR="00334DC9" w:rsidRPr="00334DC9">
        <w:rPr>
          <w:rFonts w:ascii="Times New Roman" w:hAnsi="Times New Roman" w:cs="Times New Roman"/>
          <w:color w:val="404040"/>
          <w:spacing w:val="20"/>
          <w:sz w:val="20"/>
        </w:rPr>
        <w:t>Banski dvori | Trg Sv. Marka 2</w:t>
      </w:r>
      <w:r>
        <w:rPr>
          <w:rFonts w:ascii="Times New Roman" w:hAnsi="Times New Roman" w:cs="Times New Roman"/>
          <w:color w:val="404040"/>
          <w:spacing w:val="20"/>
          <w:sz w:val="20"/>
        </w:rPr>
        <w:t xml:space="preserve"> </w:t>
      </w:r>
      <w:r w:rsidR="00334DC9" w:rsidRPr="00334DC9">
        <w:rPr>
          <w:rFonts w:ascii="Times New Roman" w:hAnsi="Times New Roman" w:cs="Times New Roman"/>
          <w:color w:val="404040"/>
          <w:spacing w:val="20"/>
          <w:sz w:val="20"/>
        </w:rPr>
        <w:t>| 10000 Zagreb | tel. 01 4569 222 | vlada.gov.hr</w:t>
      </w:r>
      <w:r w:rsidR="00334DC9" w:rsidRPr="00334DC9">
        <w:rPr>
          <w:rFonts w:ascii="Times New Roman" w:hAnsi="Times New Roman" w:cs="Times New Roman"/>
        </w:rPr>
        <w:tab/>
      </w:r>
    </w:p>
    <w:p w:rsidR="00DE3939" w:rsidRDefault="00DE3939" w:rsidP="003D559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41CA8" w:rsidRPr="003D559C" w:rsidRDefault="00541CA8" w:rsidP="003D559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D559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VLADA REPUBLIKE HRVATSKE</w:t>
      </w: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AE4D8B" w:rsidP="00541CA8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Nacrt</w:t>
      </w: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5233F" w:rsidRDefault="00F5233F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5233F" w:rsidRPr="00541CA8" w:rsidRDefault="00F5233F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F327E" w:rsidRDefault="00541CA8" w:rsidP="00AE4D8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 ODLUKE</w:t>
      </w:r>
      <w:r w:rsidR="00EB70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SUDJELOVANJU ORUŽANIH SNAGA</w:t>
      </w:r>
    </w:p>
    <w:p w:rsidR="008D0359" w:rsidRDefault="00541CA8" w:rsidP="00AE4D8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REPUBLIKE HRVATSKE U SKLOPU AKTIVNOSTI</w:t>
      </w:r>
      <w:r w:rsidR="00AE4D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OJAČANE </w:t>
      </w:r>
    </w:p>
    <w:p w:rsidR="00541CA8" w:rsidRPr="00EB3704" w:rsidRDefault="00541CA8" w:rsidP="00AE4D8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PREDNJE PRISUTNOSTI NATO-a U REPUBLICI POLJSKOJ</w:t>
      </w:r>
      <w:r w:rsidR="00AE4D8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D559C" w:rsidRDefault="003D559C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D559C" w:rsidRPr="00541CA8" w:rsidRDefault="003D559C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E26F3" w:rsidRPr="003D559C" w:rsidRDefault="00541CA8" w:rsidP="00AE26F3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D559C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Zagreb, </w:t>
      </w:r>
      <w:r w:rsidR="00EE4417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studeni </w:t>
      </w:r>
      <w:r w:rsidR="00AE26F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2020.</w:t>
      </w:r>
    </w:p>
    <w:p w:rsidR="00881847" w:rsidRDefault="00881847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page"/>
      </w:r>
    </w:p>
    <w:p w:rsidR="00881847" w:rsidRDefault="00881847" w:rsidP="004D56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PRIJEDLOG ODLUKE</w:t>
      </w:r>
      <w:r w:rsidR="00EB70E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SUDJELOVANJU ORUŽANIH SNAGA</w:t>
      </w:r>
    </w:p>
    <w:p w:rsidR="00250B05" w:rsidRDefault="00881847" w:rsidP="004D56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REPUBLIKE HRVATSKE U SKLOPU AKTIVNOSTI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OJAČANE </w:t>
      </w:r>
    </w:p>
    <w:p w:rsidR="00881847" w:rsidRPr="00EB3704" w:rsidRDefault="00881847" w:rsidP="004D56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PREDNJE PRISUTNOSTI NATO-a U REPUBLICI POLJSKOJ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9E08FB" w:rsidRPr="00541CA8" w:rsidRDefault="009E08FB" w:rsidP="004D56B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4D56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4D56B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USTAVNA OSNOVA</w:t>
      </w:r>
      <w:r w:rsidR="00D67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 DONOŠENJE ODLUKE </w:t>
      </w:r>
    </w:p>
    <w:p w:rsidR="00541CA8" w:rsidRPr="0061496A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A76BFF" w:rsidRPr="00C6571C" w:rsidRDefault="00A76BFF" w:rsidP="002B4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657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7. stavka 5. Ustava Republike Hrvatske (Narodne novine, br. 85/10 – pročišćeni tekst i 5/14 – Odluka Ustavnog suda Republike Hrvatske) pokreće se postupak za donošenje Odluke o sudjelovanju Oružanih snaga Republike Hrvatske u </w:t>
      </w:r>
      <w:r w:rsidRPr="00C6571C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881847" w:rsidRPr="00C657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klopu aktivnosti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C6571C">
        <w:rPr>
          <w:rFonts w:ascii="Times New Roman" w:eastAsia="Times New Roman" w:hAnsi="Times New Roman" w:cs="Times New Roman"/>
          <w:sz w:val="24"/>
          <w:szCs w:val="24"/>
          <w:lang w:eastAsia="hr-HR"/>
        </w:rPr>
        <w:t>jačane prednje prisutnosti u Republici Poljsko</w:t>
      </w:r>
      <w:r w:rsidR="00E714D7">
        <w:rPr>
          <w:rFonts w:ascii="Times New Roman" w:eastAsia="Times New Roman" w:hAnsi="Times New Roman" w:cs="Times New Roman"/>
          <w:sz w:val="24"/>
          <w:szCs w:val="24"/>
          <w:lang w:eastAsia="hr-HR"/>
        </w:rPr>
        <w:t>j (u daljnjem tekstu</w:t>
      </w:r>
      <w:r w:rsidR="001D6B1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E714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Odluka)</w:t>
      </w:r>
      <w:r w:rsidRPr="00C657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541CA8" w:rsidRPr="00541CA8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OCJENA DOSADAŠNJEG STANJA</w:t>
      </w:r>
    </w:p>
    <w:p w:rsidR="00541CA8" w:rsidRPr="0061496A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541CA8" w:rsidRPr="00541CA8" w:rsidRDefault="00541CA8" w:rsidP="002B4CD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CA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>Pojavom novih sigurnosnih izazova i prijetnji te jačanjem nestabilnosti u neposrednom okruženju</w:t>
      </w:r>
      <w:r w:rsidR="00C968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490EA8">
        <w:rPr>
          <w:rFonts w:ascii="Times New Roman" w:eastAsia="MS Mincho" w:hAnsi="Times New Roman" w:cs="Times New Roman"/>
          <w:sz w:val="24"/>
          <w:szCs w:val="24"/>
          <w:lang w:eastAsia="ja-JP"/>
        </w:rPr>
        <w:t>NATO</w:t>
      </w:r>
      <w:r w:rsidR="00C968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>Saveza</w:t>
      </w:r>
      <w:r w:rsidR="00490E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(u daljnjem tekstu</w:t>
      </w:r>
      <w:r w:rsidR="001D6B14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  <w:r w:rsidR="00490E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Savez)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bookmarkStart w:id="0" w:name="_GoBack"/>
      <w:bookmarkEnd w:id="0"/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>od asimetričnih sukoba do hibridnih i t</w:t>
      </w:r>
      <w:r w:rsidR="00490EA8">
        <w:rPr>
          <w:rFonts w:ascii="Times New Roman" w:eastAsia="MS Mincho" w:hAnsi="Times New Roman" w:cs="Times New Roman"/>
          <w:sz w:val="24"/>
          <w:szCs w:val="24"/>
          <w:lang w:eastAsia="ja-JP"/>
        </w:rPr>
        <w:t>erorističkih prijetnji,</w:t>
      </w:r>
      <w:r w:rsidR="00C9689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države </w:t>
      </w:r>
      <w:r w:rsidR="00490E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članice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usuglasile </w:t>
      </w:r>
      <w:r w:rsidR="001035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su se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oko potrebe jačanja zaštite granica te kolektivne sigurnosti i obrane članica </w:t>
      </w:r>
      <w:r w:rsidR="00490E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Saveza.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Kao odgovor na promijenjene sigurnosne uvjete i </w:t>
      </w:r>
      <w:r w:rsidR="001035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nove ugroze, članice Saveza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>na samitu u Walesu</w:t>
      </w:r>
      <w:r w:rsidR="00C6571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2014.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usvojile </w:t>
      </w:r>
      <w:r w:rsidR="001035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su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>Akcijski plan za spremnost Saveza</w:t>
      </w:r>
      <w:r w:rsidR="00AA7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</w:t>
      </w:r>
      <w:r w:rsidR="0041145B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="00AA7B76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daljnjem tekstu Akcijski plan)</w:t>
      </w:r>
      <w:r w:rsidR="00490E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1035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radi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>stvaranja</w:t>
      </w:r>
      <w:r w:rsidR="0044649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novih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i jačanja</w:t>
      </w:r>
      <w:r w:rsidR="0044649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postojećih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operativn</w:t>
      </w:r>
      <w:r w:rsidR="00446497">
        <w:rPr>
          <w:rFonts w:ascii="Times New Roman" w:eastAsia="MS Mincho" w:hAnsi="Times New Roman" w:cs="Times New Roman"/>
          <w:sz w:val="24"/>
          <w:szCs w:val="24"/>
          <w:lang w:eastAsia="ja-JP"/>
        </w:rPr>
        <w:t>ih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sposobnosti</w:t>
      </w:r>
      <w:r w:rsidR="0044649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Saveza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Implementacija </w:t>
      </w:r>
      <w:r w:rsidR="00F12E15">
        <w:rPr>
          <w:rFonts w:ascii="Times New Roman" w:eastAsia="Times New Roman" w:hAnsi="Times New Roman" w:cs="Times New Roman"/>
          <w:sz w:val="24"/>
          <w:szCs w:val="24"/>
          <w:lang w:eastAsia="hr-HR"/>
        </w:rPr>
        <w:t>Akcijskog plana</w:t>
      </w:r>
      <w:r w:rsidR="00490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vodila je </w:t>
      </w:r>
      <w:r w:rsidR="00FA08A8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FA08A8" w:rsidRPr="00FA0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A0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značajnim promjenama NATO 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postava snaga te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potaknula dugoročnu </w:t>
      </w:r>
      <w:r w:rsid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transformaciju 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Saveza kroz tri ključne komponente: vojnu, političku i institucionalnu. </w:t>
      </w:r>
      <w:r w:rsidR="007228FB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14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NATO</w:t>
      </w:r>
      <w:r w:rsidR="00124E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samit</w:t>
      </w:r>
      <w:r w:rsidR="007228F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14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Varšavi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srpnju 2016., zaključeno je kako je implementacija </w:t>
      </w:r>
      <w:r w:rsidR="00446497">
        <w:rPr>
          <w:rFonts w:ascii="Times New Roman" w:eastAsia="MS Mincho" w:hAnsi="Times New Roman" w:cs="Times New Roman"/>
          <w:sz w:val="24"/>
          <w:szCs w:val="24"/>
          <w:lang w:eastAsia="ja-JP"/>
        </w:rPr>
        <w:t>Akcijskog</w:t>
      </w:r>
      <w:r w:rsidR="00446497"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plan</w:t>
      </w:r>
      <w:r w:rsidR="00446497">
        <w:rPr>
          <w:rFonts w:ascii="Times New Roman" w:eastAsia="MS Mincho" w:hAnsi="Times New Roman" w:cs="Times New Roman"/>
          <w:sz w:val="24"/>
          <w:szCs w:val="24"/>
          <w:lang w:eastAsia="ja-JP"/>
        </w:rPr>
        <w:t>a</w:t>
      </w:r>
      <w:r w:rsidR="00446497"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>uspješno provedena, no zbog novih prijetnji i izazova</w:t>
      </w:r>
      <w:r w:rsidR="006149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imaju dugoročna obilježja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145B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države članice Saveza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odlučile</w:t>
      </w:r>
      <w:r w:rsidR="004114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djelovati u dva osnovna smjera</w:t>
      </w:r>
      <w:r w:rsidR="007228F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124E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>dodatnim</w:t>
      </w:r>
      <w:r w:rsidR="007228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>jačanje</w:t>
      </w:r>
      <w:r w:rsidR="007228FB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kolektivnog odvraćanja i obrane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>jačanjem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prednje prisutno</w:t>
      </w:r>
      <w:r w:rsidR="0041145B">
        <w:rPr>
          <w:rFonts w:ascii="Times New Roman" w:eastAsia="Times New Roman" w:hAnsi="Times New Roman" w:cs="Times New Roman"/>
          <w:sz w:val="24"/>
          <w:szCs w:val="24"/>
          <w:lang w:eastAsia="hr-HR"/>
        </w:rPr>
        <w:t>sti</w:t>
      </w:r>
      <w:r w:rsid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istoku</w:t>
      </w:r>
      <w:r w:rsidR="00124E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Saveza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projiciranje</w:t>
      </w:r>
      <w:r w:rsidR="007228FB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stabilnosti</w:t>
      </w:r>
      <w:r w:rsidR="00C96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izvan granica Saveza 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>izgradnj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institucionalne i sigurnosne arhitekture partnerskih država Saveza.</w:t>
      </w:r>
      <w:r w:rsidR="00EB7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41CA8" w:rsidRDefault="00341DE8" w:rsidP="002B4CDB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ajkonkretniji oblik </w:t>
      </w:r>
      <w:r w:rsidR="00C9689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>jačanja kolektivnog odvraćanja i obrane Saveza je</w:t>
      </w:r>
      <w:r w:rsidR="00C96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>o uspo</w:t>
      </w:r>
      <w:r w:rsidR="00195E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stavi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81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jačane </w:t>
      </w:r>
      <w:r w:rsidR="00195EA3">
        <w:rPr>
          <w:rFonts w:ascii="Times New Roman" w:eastAsia="Times New Roman" w:hAnsi="Times New Roman" w:cs="Times New Roman"/>
          <w:sz w:val="24"/>
          <w:szCs w:val="24"/>
          <w:lang w:eastAsia="hr-HR"/>
        </w:rPr>
        <w:t>prednje prisutnosti NATO snaga</w:t>
      </w:r>
      <w:r w:rsidR="00FA0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istočnom krilu 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Saveza, što </w:t>
      </w:r>
      <w:r w:rsidR="007228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4436D4">
        <w:rPr>
          <w:rFonts w:ascii="Times New Roman" w:eastAsia="Times New Roman" w:hAnsi="Times New Roman" w:cs="Times New Roman"/>
          <w:sz w:val="24"/>
          <w:szCs w:val="24"/>
          <w:lang w:eastAsia="hr-HR"/>
        </w:rPr>
        <w:t>snažna poruka</w:t>
      </w:r>
      <w:r w:rsidR="004114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zajedništva i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jedinstva</w:t>
      </w:r>
      <w:r w:rsidR="004114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država članica</w:t>
      </w:r>
      <w:r w:rsid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Saveza</w:t>
      </w:r>
      <w:r w:rsidR="00180D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unaprjeđenje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transatlantske veze. Pritom treba uzeti u obzir kako je jačanje prednje prisutnosti </w:t>
      </w:r>
      <w:r w:rsidR="00FA08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istočnom krilu 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samo jedan segment sveukupnog jačanja odvraćanja i obrane, u skladu sa savezničkom politikom spremnosti odgovora na </w:t>
      </w:r>
      <w:r w:rsid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>trenut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>ač</w:t>
      </w:r>
      <w:r w:rsid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i </w:t>
      </w:r>
      <w:r w:rsidR="00C96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eventualne </w:t>
      </w:r>
      <w:r w:rsid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>buduće</w:t>
      </w:r>
      <w:r w:rsidR="00E46C2F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prijetnje. Sve aktivnosti u okviru jačanja prisutnosti snaga na teritoriju istočnih saveznica </w:t>
      </w:r>
      <w:r w:rsidR="00C96890">
        <w:rPr>
          <w:rFonts w:ascii="Times New Roman" w:eastAsia="Times New Roman" w:hAnsi="Times New Roman" w:cs="Times New Roman"/>
          <w:sz w:val="24"/>
          <w:szCs w:val="24"/>
          <w:lang w:eastAsia="hr-HR"/>
        </w:rPr>
        <w:t>u potpunosti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>transparentne</w:t>
      </w:r>
      <w:r w:rsidR="00C968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se provode isključivo </w:t>
      </w:r>
      <w:r w:rsidR="00180D4F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jačanja kolektivnog odvraćanja i obrane. </w:t>
      </w:r>
    </w:p>
    <w:p w:rsidR="00DF327E" w:rsidRPr="00DF327E" w:rsidRDefault="00DF327E" w:rsidP="002B4CD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3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sabor 31. listopada 2018. </w:t>
      </w:r>
      <w:r w:rsidR="00103544" w:rsidRPr="00DF3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donio je </w:t>
      </w:r>
      <w:r w:rsidRPr="00DF327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sudjelovanju Oruž</w:t>
      </w:r>
      <w:r w:rsidR="00881847">
        <w:rPr>
          <w:rFonts w:ascii="Times New Roman" w:eastAsia="Times New Roman" w:hAnsi="Times New Roman" w:cs="Times New Roman"/>
          <w:sz w:val="24"/>
          <w:szCs w:val="24"/>
          <w:lang w:eastAsia="hr-HR"/>
        </w:rPr>
        <w:t>anih snaga Republike Hrvatske u</w:t>
      </w:r>
      <w:r w:rsidR="00881847"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81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sklopu aktivnosti </w:t>
      </w:r>
      <w:r w:rsidR="001D6B1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81847">
        <w:rPr>
          <w:rFonts w:ascii="Times New Roman" w:eastAsia="Times New Roman" w:hAnsi="Times New Roman" w:cs="Times New Roman"/>
          <w:sz w:val="24"/>
          <w:szCs w:val="24"/>
          <w:lang w:eastAsia="hr-HR"/>
        </w:rPr>
        <w:t>jačane prednje prisutnosti NATO-a u Republici P</w:t>
      </w:r>
      <w:r w:rsidR="00881847" w:rsidRPr="00881847">
        <w:rPr>
          <w:rFonts w:ascii="Times New Roman" w:eastAsia="Times New Roman" w:hAnsi="Times New Roman" w:cs="Times New Roman"/>
          <w:sz w:val="24"/>
          <w:szCs w:val="24"/>
          <w:lang w:eastAsia="hr-HR"/>
        </w:rPr>
        <w:t>oljskoj</w:t>
      </w:r>
      <w:r w:rsidR="0088184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>(Narodne novine, br</w:t>
      </w:r>
      <w:r w:rsidR="001D6B14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98/</w:t>
      </w:r>
      <w:r w:rsidRPr="00DF327E">
        <w:rPr>
          <w:rFonts w:ascii="Times New Roman" w:eastAsia="Times New Roman" w:hAnsi="Times New Roman" w:cs="Times New Roman"/>
          <w:sz w:val="24"/>
          <w:szCs w:val="24"/>
          <w:lang w:eastAsia="hr-HR"/>
        </w:rPr>
        <w:t>18) u skladu s kojom se u 2019. i 2020</w:t>
      </w:r>
      <w:r w:rsidR="007751C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A524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ovu 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Republiku Poljsku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uputiti do 9</w:t>
      </w:r>
      <w:r w:rsidRPr="00DF32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pripadnika Oružanih snaga Republike Hrvatske, uz mogućnost rotacije. </w:t>
      </w:r>
    </w:p>
    <w:p w:rsidR="00341DE8" w:rsidRDefault="00341DE8" w:rsidP="002B4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1254" w:rsidRDefault="003F1254" w:rsidP="002B4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1254" w:rsidRDefault="003F1254" w:rsidP="002B4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1254" w:rsidRPr="00541CA8" w:rsidRDefault="003F1254" w:rsidP="002B4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CA8" w:rsidRPr="00541CA8" w:rsidRDefault="00541CA8" w:rsidP="002B4CDB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541CA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III.</w:t>
      </w:r>
      <w:r w:rsidRPr="00541CA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  <w:t>RAZLOZI I CILJEVI DONOŠENJA ODLUKE</w:t>
      </w:r>
    </w:p>
    <w:p w:rsidR="00541CA8" w:rsidRPr="001E376C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0F0C4A" w:rsidRPr="001E376C" w:rsidRDefault="00AA7B76" w:rsidP="002B4CDB">
      <w:pPr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NATO samit</w:t>
      </w:r>
      <w:r w:rsidR="00341DE8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341DE8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>Varšavi</w:t>
      </w:r>
      <w:r w:rsidR="00541CA8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0C4A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2016. </w:t>
      </w:r>
      <w:r w:rsidR="001E376C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države članice</w:t>
      </w:r>
      <w:r w:rsidR="00541CA8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usvojile</w:t>
      </w:r>
      <w:r w:rsidR="004114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niz odluka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</w:t>
      </w:r>
      <w:r w:rsidR="00541CA8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jačanja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odvraćanja i obrane Saveza koje </w:t>
      </w:r>
      <w:r w:rsidR="00195EA3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uključuju pozicioniranje</w:t>
      </w:r>
      <w:r w:rsidR="000F0C4A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90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određenog broja vojnih </w:t>
      </w:r>
      <w:r w:rsidR="000F0C4A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snaga </w:t>
      </w:r>
      <w:r w:rsidR="00FA08A8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istoku Saveza </w:t>
      </w:r>
      <w:r w:rsidR="000F0C4A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kroz 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0F0C4A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>jačanu prednju prisutnost</w:t>
      </w:r>
      <w:r w:rsidR="00490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Republici Estoniji, Republici Latviji, Republici Litvi i Republici Poljskoj</w:t>
      </w:r>
      <w:r w:rsidR="000F0C4A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A5039" w:rsidRPr="009E08FB" w:rsidRDefault="00541CA8" w:rsidP="002B4CDB">
      <w:pPr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Konkretna implementacija 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>jačan</w:t>
      </w:r>
      <w:r w:rsidR="00195EA3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prednje prisutnosti</w:t>
      </w:r>
      <w:r w:rsidR="000F0C4A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započela je 2017. i</w:t>
      </w: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provodi se razmještanje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četiri</w:t>
      </w:r>
      <w:r w:rsidR="000F17BE">
        <w:rPr>
          <w:rFonts w:ascii="Times New Roman" w:eastAsia="Times New Roman" w:hAnsi="Times New Roman" w:cs="Times New Roman"/>
          <w:sz w:val="24"/>
          <w:szCs w:val="24"/>
          <w:lang w:eastAsia="hr-HR"/>
        </w:rPr>
        <w:t>ju</w:t>
      </w: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17BE">
        <w:rPr>
          <w:rFonts w:ascii="Times New Roman" w:eastAsia="Times New Roman" w:hAnsi="Times New Roman" w:cs="Times New Roman"/>
          <w:sz w:val="24"/>
          <w:szCs w:val="24"/>
          <w:lang w:eastAsia="hr-HR"/>
        </w:rPr>
        <w:t>borbenih grupa</w:t>
      </w:r>
      <w:r w:rsidR="004114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savezničkih snaga</w:t>
      </w:r>
      <w:r w:rsidR="00FA08A8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istoku </w:t>
      </w: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Saveza </w:t>
      </w:r>
      <w:r w:rsidR="00A524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navedenim </w:t>
      </w:r>
      <w:r w:rsidR="00490E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državama. Ove </w:t>
      </w: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četiri borbene grupe sastavljene </w:t>
      </w:r>
      <w:r w:rsidR="00490EA8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>od multinacionalnih savezničkih snaga,</w:t>
      </w:r>
      <w:r w:rsidR="00195EA3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 vodstvom</w:t>
      </w:r>
      <w:r w:rsidR="00C45B66"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>četiri</w:t>
      </w:r>
      <w:r w:rsidR="000F17BE">
        <w:rPr>
          <w:rFonts w:ascii="Times New Roman" w:eastAsia="Times New Roman" w:hAnsi="Times New Roman" w:cs="Times New Roman"/>
          <w:sz w:val="24"/>
          <w:szCs w:val="24"/>
          <w:lang w:eastAsia="hr-HR"/>
        </w:rPr>
        <w:t>ju vodećih država</w:t>
      </w:r>
      <w:r w:rsidRPr="001E37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Kanade u Republici Latviji, Savezne Republike Njemačke u Republici Litvi, </w:t>
      </w:r>
      <w:r w:rsidRPr="007853F4">
        <w:rPr>
          <w:rFonts w:ascii="Times New Roman" w:eastAsia="Times New Roman" w:hAnsi="Times New Roman" w:cs="Times New Roman"/>
          <w:sz w:val="24"/>
          <w:szCs w:val="24"/>
          <w:lang w:eastAsia="hr-HR"/>
        </w:rPr>
        <w:t>Ujedinjene Kraljevine Velike Britanije i Sjeverne Irske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Republici Estoniji te Sjedinjenih Američkih Država </w:t>
      </w:r>
      <w:r w:rsidRPr="009E08FB">
        <w:rPr>
          <w:rFonts w:ascii="Times New Roman" w:eastAsia="Times New Roman" w:hAnsi="Times New Roman" w:cs="Times New Roman"/>
          <w:sz w:val="24"/>
          <w:szCs w:val="24"/>
          <w:lang w:eastAsia="hr-HR"/>
        </w:rPr>
        <w:t>u Republici Poljskoj</w:t>
      </w:r>
      <w:r w:rsidR="00EB63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4358E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:rsidR="00A36976" w:rsidRPr="00216CD8" w:rsidRDefault="00541CA8" w:rsidP="002B4CDB">
      <w:pPr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poduprla 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jačanju nazočnosti Saveza u</w:t>
      </w:r>
      <w:r w:rsidR="008A1E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okviru 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A1EDB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>jačan</w:t>
      </w:r>
      <w:r w:rsidR="008A1EDB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A1EDB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prednje prisutnosti</w:t>
      </w:r>
      <w:r w:rsidR="000F0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C45B66">
        <w:rPr>
          <w:rFonts w:ascii="Times New Roman" w:eastAsia="Times New Roman" w:hAnsi="Times New Roman" w:cs="Times New Roman"/>
          <w:sz w:val="24"/>
          <w:szCs w:val="24"/>
          <w:lang w:eastAsia="hr-HR"/>
        </w:rPr>
        <w:t>odl</w:t>
      </w:r>
      <w:r w:rsidR="000F0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učila sudjelovati s jednom </w:t>
      </w:r>
      <w:r w:rsidR="00C45B66">
        <w:rPr>
          <w:rFonts w:ascii="Times New Roman" w:eastAsia="Times New Roman" w:hAnsi="Times New Roman" w:cs="Times New Roman"/>
          <w:sz w:val="24"/>
          <w:szCs w:val="24"/>
          <w:lang w:eastAsia="hr-HR"/>
        </w:rPr>
        <w:t>bitnic</w:t>
      </w:r>
      <w:r w:rsidR="00124E2E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samohodnih višecjevnih lansera r</w:t>
      </w:r>
      <w:r w:rsidR="00A524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aketa </w:t>
      </w:r>
      <w:r w:rsidR="000F0C4A">
        <w:rPr>
          <w:rFonts w:ascii="Times New Roman" w:eastAsia="Times New Roman" w:hAnsi="Times New Roman" w:cs="Times New Roman"/>
          <w:sz w:val="24"/>
          <w:szCs w:val="24"/>
          <w:lang w:eastAsia="hr-HR"/>
        </w:rPr>
        <w:t>„Vulkan“</w:t>
      </w:r>
      <w:r w:rsidR="00C45B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Borbenoj skupini u 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Republici </w:t>
      </w:r>
      <w:r w:rsidR="00C45B66">
        <w:rPr>
          <w:rFonts w:ascii="Times New Roman" w:eastAsia="Times New Roman" w:hAnsi="Times New Roman" w:cs="Times New Roman"/>
          <w:sz w:val="24"/>
          <w:szCs w:val="24"/>
          <w:lang w:eastAsia="hr-HR"/>
        </w:rPr>
        <w:t>Poljskoj</w:t>
      </w:r>
      <w:r w:rsidR="005B2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9B0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listopadu 2017. u</w:t>
      </w:r>
      <w:r w:rsidR="000F0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sastavu </w:t>
      </w:r>
      <w:r w:rsidR="00A52434">
        <w:rPr>
          <w:rFonts w:ascii="Times New Roman" w:eastAsia="Times New Roman" w:hAnsi="Times New Roman" w:cs="Times New Roman"/>
          <w:sz w:val="24"/>
          <w:szCs w:val="24"/>
          <w:lang w:eastAsia="hr-HR"/>
        </w:rPr>
        <w:t>prvoga</w:t>
      </w:r>
      <w:r w:rsidR="000F0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hrvatskog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F0C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kontingenta</w:t>
      </w:r>
      <w:r w:rsidR="005B2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B0482">
        <w:rPr>
          <w:rFonts w:ascii="Times New Roman" w:eastAsia="Times New Roman" w:hAnsi="Times New Roman" w:cs="Times New Roman"/>
          <w:sz w:val="24"/>
          <w:szCs w:val="24"/>
          <w:lang w:eastAsia="hr-HR"/>
        </w:rPr>
        <w:t>upućena</w:t>
      </w:r>
      <w:r w:rsidR="005B2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9B0482" w:rsidRPr="00FB5981">
        <w:rPr>
          <w:rFonts w:ascii="Times New Roman" w:eastAsia="Times New Roman" w:hAnsi="Times New Roman" w:cs="Times New Roman"/>
          <w:sz w:val="24"/>
          <w:szCs w:val="24"/>
          <w:lang w:eastAsia="hr-HR"/>
        </w:rPr>
        <w:t>bitnica samohodnih višecijevnih lansera r</w:t>
      </w:r>
      <w:r w:rsidR="009B0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aketa 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9B0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B2207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3D559C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5B2207" w:rsidRPr="000A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pripadnik</w:t>
      </w:r>
      <w:r w:rsidR="005B220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Oružanih </w:t>
      </w:r>
      <w:r w:rsidR="005B2207" w:rsidRPr="000A4C9B">
        <w:rPr>
          <w:rFonts w:ascii="Times New Roman" w:eastAsia="Times New Roman" w:hAnsi="Times New Roman" w:cs="Times New Roman"/>
          <w:sz w:val="24"/>
          <w:szCs w:val="24"/>
          <w:lang w:eastAsia="hr-HR"/>
        </w:rPr>
        <w:t>snaga</w:t>
      </w:r>
      <w:r w:rsidR="009B04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Republike Hrvatske</w:t>
      </w:r>
      <w:r w:rsidR="005B220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50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listopada 2017. godine do listopada 2020. provedeno je </w:t>
      </w:r>
      <w:r w:rsidR="00F65CB9">
        <w:rPr>
          <w:rFonts w:ascii="Times New Roman" w:eastAsia="Times New Roman" w:hAnsi="Times New Roman" w:cs="Times New Roman"/>
          <w:sz w:val="24"/>
          <w:szCs w:val="24"/>
          <w:lang w:eastAsia="hr-HR"/>
        </w:rPr>
        <w:t>šest</w:t>
      </w:r>
      <w:r w:rsidR="00550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rotacija. Trenut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>ač</w:t>
      </w:r>
      <w:r w:rsidR="00550F88">
        <w:rPr>
          <w:rFonts w:ascii="Times New Roman" w:eastAsia="Times New Roman" w:hAnsi="Times New Roman" w:cs="Times New Roman"/>
          <w:sz w:val="24"/>
          <w:szCs w:val="24"/>
          <w:lang w:eastAsia="hr-HR"/>
        </w:rPr>
        <w:t>no je u</w:t>
      </w:r>
      <w:r w:rsidR="00A36976" w:rsidRPr="00680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Poljskoj raspoređen </w:t>
      </w:r>
      <w:r w:rsidR="001D6B14">
        <w:rPr>
          <w:rFonts w:ascii="Times New Roman" w:eastAsia="Times New Roman" w:hAnsi="Times New Roman" w:cs="Times New Roman"/>
          <w:sz w:val="24"/>
          <w:szCs w:val="24"/>
          <w:lang w:eastAsia="hr-HR"/>
        </w:rPr>
        <w:t>šesti</w:t>
      </w:r>
      <w:r w:rsidR="004D56BC" w:rsidRPr="00680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hrvatski kontingent s 80 pr</w:t>
      </w:r>
      <w:r w:rsidR="001E67E2" w:rsidRPr="00680B3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D56BC" w:rsidRPr="00680B39">
        <w:rPr>
          <w:rFonts w:ascii="Times New Roman" w:eastAsia="Times New Roman" w:hAnsi="Times New Roman" w:cs="Times New Roman"/>
          <w:sz w:val="24"/>
          <w:szCs w:val="24"/>
          <w:lang w:eastAsia="hr-HR"/>
        </w:rPr>
        <w:t>padnika</w:t>
      </w:r>
      <w:r w:rsidR="00680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>Oružanih snaga Republike Hrvatske</w:t>
      </w:r>
      <w:r w:rsidR="00A524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B7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56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96890" w:rsidRPr="00AD2315" w:rsidRDefault="00C96890" w:rsidP="002B4CDB">
      <w:pPr>
        <w:autoSpaceDE w:val="0"/>
        <w:autoSpaceDN w:val="0"/>
        <w:adjustRightInd w:val="0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Oružane snage Republike Hrvatske sudjelovanjem u ovoj aktivnosti NATO-a dodatno </w:t>
      </w:r>
      <w:r w:rsidR="00AD2315"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razvijaju </w:t>
      </w:r>
      <w:r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>svoje sposobnosti te podižu interoperabilnost sa snagama drugih država članica</w:t>
      </w:r>
      <w:r w:rsidR="00AD2315"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>što izravno pri</w:t>
      </w:r>
      <w:r w:rsidR="008A5532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nosi </w:t>
      </w:r>
      <w:r w:rsidR="00AD2315"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jačanju odvraćanja i </w:t>
      </w:r>
      <w:r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>kolektivne obrane Saveza.</w:t>
      </w:r>
      <w:r w:rsid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D2315"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tako potvrđuje svoju predanost u implementaciji savezničkih odluka usvojenih na NATO samitu u Varšavi te nastavlja </w:t>
      </w:r>
      <w:r w:rsidR="00A27FE0">
        <w:rPr>
          <w:rFonts w:ascii="Times New Roman" w:eastAsia="Times New Roman" w:hAnsi="Times New Roman" w:cs="Times New Roman"/>
          <w:sz w:val="24"/>
          <w:szCs w:val="24"/>
          <w:lang w:eastAsia="hr-HR"/>
        </w:rPr>
        <w:t>graditi</w:t>
      </w:r>
      <w:r w:rsidR="00AD2315"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međunarodnu vjerodostojnost te politički i vojni kredibilitet u okviru </w:t>
      </w:r>
      <w:r w:rsid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>Saveza</w:t>
      </w:r>
      <w:r w:rsidR="00AD2315"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B7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F3756" w:rsidRPr="00521736" w:rsidRDefault="008A5532" w:rsidP="00521736">
      <w:pPr>
        <w:spacing w:after="4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Slijedom </w:t>
      </w:r>
      <w:r w:rsidR="00B041CE">
        <w:rPr>
          <w:rFonts w:ascii="Times New Roman" w:eastAsia="Times New Roman" w:hAnsi="Times New Roman" w:cs="Times New Roman"/>
          <w:sz w:val="24"/>
          <w:szCs w:val="24"/>
          <w:lang w:eastAsia="hr-HR"/>
        </w:rPr>
        <w:t>navedenog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D23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A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predlaže </w:t>
      </w:r>
      <w:r w:rsidR="00B041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3B28D1">
        <w:rPr>
          <w:rFonts w:ascii="Times New Roman" w:eastAsia="Times New Roman" w:hAnsi="Times New Roman" w:cs="Times New Roman"/>
          <w:sz w:val="24"/>
          <w:szCs w:val="24"/>
          <w:lang w:eastAsia="hr-HR"/>
        </w:rPr>
        <w:t>nastavak</w:t>
      </w:r>
      <w:r w:rsidR="000A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sudjelovanj</w:t>
      </w:r>
      <w:r w:rsidR="003B28D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0A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Oružanih snaga Republike Hr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vatske u sklopu borbene skupine, </w:t>
      </w:r>
      <w:r w:rsidR="000A4C9B">
        <w:rPr>
          <w:rFonts w:ascii="Times New Roman" w:eastAsia="Times New Roman" w:hAnsi="Times New Roman" w:cs="Times New Roman"/>
          <w:sz w:val="24"/>
          <w:szCs w:val="24"/>
          <w:lang w:eastAsia="hr-HR"/>
        </w:rPr>
        <w:t>pod vodstvom Sje</w:t>
      </w:r>
      <w:r w:rsidR="00AE3C1D">
        <w:rPr>
          <w:rFonts w:ascii="Times New Roman" w:eastAsia="Times New Roman" w:hAnsi="Times New Roman" w:cs="Times New Roman"/>
          <w:sz w:val="24"/>
          <w:szCs w:val="24"/>
          <w:lang w:eastAsia="hr-HR"/>
        </w:rPr>
        <w:t>dinjenih Američkih Država</w:t>
      </w:r>
      <w:r w:rsidR="00F44D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E3C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mogućnošću upućivanja </w:t>
      </w:r>
      <w:r w:rsidR="00FC25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2021. </w:t>
      </w:r>
      <w:r w:rsidR="002261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Republiku Poljsku </w:t>
      </w:r>
      <w:r w:rsidR="00AE3C1D">
        <w:rPr>
          <w:rFonts w:ascii="Times New Roman" w:eastAsia="Times New Roman" w:hAnsi="Times New Roman" w:cs="Times New Roman"/>
          <w:sz w:val="24"/>
          <w:szCs w:val="24"/>
          <w:lang w:eastAsia="hr-HR"/>
        </w:rPr>
        <w:t>do</w:t>
      </w:r>
      <w:r w:rsidR="00AE3C1D" w:rsidRPr="00881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6CD8" w:rsidRPr="00881847">
        <w:rPr>
          <w:rFonts w:ascii="Times New Roman" w:eastAsia="Times New Roman" w:hAnsi="Times New Roman" w:cs="Times New Roman"/>
          <w:sz w:val="24"/>
          <w:szCs w:val="24"/>
          <w:lang w:eastAsia="hr-HR"/>
        </w:rPr>
        <w:t>90</w:t>
      </w:r>
      <w:r w:rsidR="000A4C9B" w:rsidRPr="00881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4C9B">
        <w:rPr>
          <w:rFonts w:ascii="Times New Roman" w:eastAsia="Times New Roman" w:hAnsi="Times New Roman" w:cs="Times New Roman"/>
          <w:sz w:val="24"/>
          <w:szCs w:val="24"/>
          <w:lang w:eastAsia="hr-HR"/>
        </w:rPr>
        <w:t>pripadnika</w:t>
      </w:r>
      <w:r w:rsidR="00C061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Oružanih snaga Republike Hrvatske </w:t>
      </w:r>
      <w:r w:rsidR="002861BE">
        <w:rPr>
          <w:rFonts w:ascii="Times New Roman" w:eastAsia="Times New Roman" w:hAnsi="Times New Roman" w:cs="Times New Roman"/>
          <w:sz w:val="24"/>
          <w:szCs w:val="24"/>
          <w:lang w:eastAsia="hr-HR"/>
        </w:rPr>
        <w:t>uz</w:t>
      </w:r>
      <w:r w:rsidR="000A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mogućno</w:t>
      </w:r>
      <w:r w:rsidR="002861BE">
        <w:rPr>
          <w:rFonts w:ascii="Times New Roman" w:eastAsia="Times New Roman" w:hAnsi="Times New Roman" w:cs="Times New Roman"/>
          <w:sz w:val="24"/>
          <w:szCs w:val="24"/>
          <w:lang w:eastAsia="hr-HR"/>
        </w:rPr>
        <w:t>st</w:t>
      </w:r>
      <w:r w:rsidR="000A4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rotacije.</w:t>
      </w:r>
      <w:r w:rsidR="00EC654C" w:rsidRPr="00EC65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41CA8" w:rsidRPr="00541CA8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POTREBNA FINANCIJSKA SREDSTVA</w:t>
      </w:r>
    </w:p>
    <w:p w:rsidR="00541CA8" w:rsidRPr="00541CA8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D3B53" w:rsidRDefault="009D3B53" w:rsidP="009D3B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Financijska sredstva za provedbu ove Odluke osigurana</w:t>
      </w:r>
      <w:r w:rsidR="003827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Državnom proračunu Republike Hrvatske za 2020. </w:t>
      </w:r>
      <w:r w:rsidR="001D6B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projekcijama za 2021. i 2022. godinu i u okviru su limita određenih za Ministarstvo obrane Smjernicama </w:t>
      </w:r>
      <w:r w:rsidR="00BF3D18">
        <w:rPr>
          <w:rFonts w:ascii="Times New Roman" w:eastAsia="Times New Roman" w:hAnsi="Times New Roman" w:cs="Times New Roman"/>
          <w:sz w:val="24"/>
          <w:szCs w:val="24"/>
          <w:lang w:eastAsia="hr-HR"/>
        </w:rPr>
        <w:t>za izradu D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ržavnog proračuna Republike Hrvatske za 2021. i projekcijama za 202</w:t>
      </w:r>
      <w:r w:rsidR="00563EBD">
        <w:rPr>
          <w:rFonts w:ascii="Times New Roman" w:eastAsia="Times New Roman" w:hAnsi="Times New Roman" w:cs="Times New Roman"/>
          <w:sz w:val="24"/>
          <w:szCs w:val="24"/>
          <w:lang w:eastAsia="hr-HR"/>
        </w:rPr>
        <w:t>2. i 2023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2261BB" w:rsidRPr="009D3B53" w:rsidRDefault="009D3B53" w:rsidP="002B4C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1CA8" w:rsidRPr="00541CA8" w:rsidRDefault="00541CA8" w:rsidP="002B4C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</w:t>
      </w:r>
      <w:r w:rsidR="002261BB"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rijedlog</w:t>
      </w:r>
    </w:p>
    <w:p w:rsidR="003B28D1" w:rsidRDefault="003B28D1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B28D1" w:rsidRPr="003B28D1" w:rsidRDefault="003B28D1" w:rsidP="002B4C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28D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54. stavka 2. Zakona o obrani</w:t>
      </w:r>
      <w:r w:rsid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46C2F" w:rsidRPr="00C6571C">
        <w:rPr>
          <w:rFonts w:ascii="Times New Roman" w:hAnsi="Times New Roman" w:cs="Times New Roman"/>
          <w:color w:val="000000"/>
          <w:sz w:val="24"/>
          <w:szCs w:val="24"/>
        </w:rPr>
        <w:t>(Narodne novine, br. 73/13, 75/15, 27/16</w:t>
      </w:r>
      <w:r w:rsidR="00E46C2F" w:rsidRPr="00C6571C">
        <w:rPr>
          <w:rFonts w:ascii="Times New Roman" w:hAnsi="Times New Roman" w:cs="Times New Roman"/>
          <w:sz w:val="24"/>
          <w:szCs w:val="24"/>
        </w:rPr>
        <w:t>, 110/17 – Odluka Ustavnog suda Republike Hrvatske,</w:t>
      </w:r>
      <w:r w:rsidR="00E46C2F" w:rsidRPr="00C6571C">
        <w:rPr>
          <w:rFonts w:ascii="Times New Roman" w:hAnsi="Times New Roman" w:cs="Times New Roman"/>
          <w:color w:val="000000"/>
          <w:sz w:val="24"/>
          <w:szCs w:val="24"/>
        </w:rPr>
        <w:t xml:space="preserve"> 30/18</w:t>
      </w:r>
      <w:r w:rsidR="00E46C2F" w:rsidRPr="00C6571C">
        <w:rPr>
          <w:rFonts w:ascii="Times New Roman" w:hAnsi="Times New Roman" w:cs="Times New Roman"/>
          <w:sz w:val="24"/>
          <w:szCs w:val="24"/>
        </w:rPr>
        <w:t xml:space="preserve"> i 70/19</w:t>
      </w:r>
      <w:r w:rsidR="00E46C2F" w:rsidRPr="00C657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B28D1">
        <w:rPr>
          <w:rFonts w:ascii="Times New Roman" w:eastAsia="Times New Roman" w:hAnsi="Times New Roman" w:cs="Times New Roman"/>
          <w:sz w:val="24"/>
          <w:szCs w:val="24"/>
          <w:lang w:eastAsia="hr-HR"/>
        </w:rPr>
        <w:t>, na prijedlog Vlade Republike Hrvatske i uz p</w:t>
      </w:r>
      <w:r w:rsidR="004D56BC">
        <w:rPr>
          <w:rFonts w:ascii="Times New Roman" w:eastAsia="Times New Roman" w:hAnsi="Times New Roman" w:cs="Times New Roman"/>
          <w:sz w:val="24"/>
          <w:szCs w:val="24"/>
          <w:lang w:eastAsia="hr-HR"/>
        </w:rPr>
        <w:t>rethodnu suglasnost Predsjednika</w:t>
      </w:r>
      <w:r w:rsidRPr="003B28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Republike Hrvatske, Hrvatski sabor </w:t>
      </w:r>
      <w:r w:rsidR="00AE3C1D">
        <w:rPr>
          <w:rFonts w:ascii="Times New Roman" w:eastAsia="Times New Roman" w:hAnsi="Times New Roman" w:cs="Times New Roman"/>
          <w:sz w:val="24"/>
          <w:szCs w:val="24"/>
          <w:lang w:eastAsia="hr-HR"/>
        </w:rPr>
        <w:t>na sjednici _______________ 2020</w:t>
      </w:r>
      <w:r w:rsidRPr="003B28D1">
        <w:rPr>
          <w:rFonts w:ascii="Times New Roman" w:eastAsia="Times New Roman" w:hAnsi="Times New Roman" w:cs="Times New Roman"/>
          <w:sz w:val="24"/>
          <w:szCs w:val="24"/>
          <w:lang w:eastAsia="hr-HR"/>
        </w:rPr>
        <w:t>. donio je</w:t>
      </w:r>
    </w:p>
    <w:p w:rsidR="00541CA8" w:rsidRPr="00541CA8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2B4CDB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U</w:t>
      </w:r>
    </w:p>
    <w:p w:rsidR="00103544" w:rsidRDefault="00541CA8" w:rsidP="002B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SUDJELOVANJU ORUŽANIH SNAGA REPUBLIKE HRVATSKE </w:t>
      </w:r>
    </w:p>
    <w:p w:rsidR="00103544" w:rsidRDefault="00541CA8" w:rsidP="002B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SKLOPU AKTIVNOSTI OJA</w:t>
      </w:r>
      <w:r w:rsidR="0010354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ČANE PREDNJE PRISUTNOSTI </w:t>
      </w:r>
    </w:p>
    <w:p w:rsidR="00541CA8" w:rsidRPr="00541CA8" w:rsidRDefault="00103544" w:rsidP="002B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NATO-a</w:t>
      </w:r>
      <w:r w:rsidR="00FB0A3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541CA8" w:rsidRPr="00541CA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REPUBLICI POLJSKOJ</w:t>
      </w:r>
      <w:r w:rsidR="00F65CB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541CA8" w:rsidRPr="00103544" w:rsidRDefault="00541CA8" w:rsidP="002B4CDB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035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:rsidR="003B28D1" w:rsidRPr="00106499" w:rsidRDefault="00541CA8" w:rsidP="002B4CDB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="008818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sklopu aktivnosti 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3B28D1" w:rsidRPr="00F759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jačane prednje prisutnosti </w:t>
      </w:r>
      <w:r w:rsidR="003B28D1" w:rsidRP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>NATO-a</w:t>
      </w:r>
      <w:r w:rsidR="00680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okviru borbene skupine </w:t>
      </w:r>
      <w:r w:rsidR="003B28D1" w:rsidRP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>pod vodstvom Sjedinjenih Američkih Dr</w:t>
      </w:r>
      <w:r w:rsidR="00AE3C1D" w:rsidRP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>žava</w:t>
      </w:r>
      <w:r w:rsidR="00680B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Republiku Poljsku u </w:t>
      </w:r>
      <w:r w:rsidR="00AE3C1D" w:rsidRP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>2021.</w:t>
      </w:r>
      <w:r w:rsidR="003B28D1" w:rsidRP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C6D71">
        <w:rPr>
          <w:rFonts w:ascii="Times New Roman" w:eastAsia="Times New Roman" w:hAnsi="Times New Roman" w:cs="Times New Roman"/>
          <w:sz w:val="24"/>
          <w:szCs w:val="24"/>
          <w:lang w:eastAsia="hr-HR"/>
        </w:rPr>
        <w:t>upućuje se</w:t>
      </w:r>
      <w:r w:rsidR="00FB0A38" w:rsidRP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E3C1D" w:rsidRP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="00216CD8" w:rsidRP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3B28D1" w:rsidRP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>0 pripadnika Oružanih snaga Republike Hrvatske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103544" w:rsidRPr="00A52434">
        <w:rPr>
          <w:rFonts w:ascii="Times New Roman" w:eastAsia="Times New Roman" w:hAnsi="Times New Roman" w:cs="Times New Roman"/>
          <w:sz w:val="24"/>
          <w:szCs w:val="24"/>
          <w:lang w:eastAsia="hr-HR"/>
        </w:rPr>
        <w:t>bitnica samohodnih višecijevnih lansera</w:t>
      </w:r>
      <w:r w:rsidR="00103544" w:rsidRPr="001035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03544" w:rsidRPr="00A52434">
        <w:rPr>
          <w:rFonts w:ascii="Times New Roman" w:eastAsia="Times New Roman" w:hAnsi="Times New Roman" w:cs="Times New Roman"/>
          <w:sz w:val="24"/>
          <w:szCs w:val="24"/>
          <w:lang w:eastAsia="hr-HR"/>
        </w:rPr>
        <w:t>raketa</w:t>
      </w:r>
      <w:r w:rsidR="00103544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680B3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B0A38" w:rsidRPr="00E46C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uz </w:t>
      </w:r>
      <w:r w:rsidR="00FB0A38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 rotacije.</w:t>
      </w:r>
      <w:r w:rsidR="00EB7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72B7C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:rsidR="00541CA8" w:rsidRPr="00103544" w:rsidRDefault="00541CA8" w:rsidP="002B4CDB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035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:rsidR="00A52434" w:rsidRPr="00A52434" w:rsidRDefault="00541CA8" w:rsidP="00A5243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hr-HR" w:bidi="ta-IN"/>
        </w:rPr>
      </w:pPr>
      <w:r w:rsidRPr="00C45B66">
        <w:rPr>
          <w:rFonts w:ascii="Times New Roman" w:eastAsia="Times New Roman" w:hAnsi="Times New Roman" w:cs="Times New Roman"/>
          <w:sz w:val="24"/>
          <w:szCs w:val="24"/>
          <w:lang w:eastAsia="hr-HR" w:bidi="ta-IN"/>
        </w:rPr>
        <w:tab/>
      </w:r>
      <w:r w:rsidR="00A52434" w:rsidRPr="00A5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ta-IN"/>
        </w:rPr>
        <w:t xml:space="preserve">Izvješće o sudjelovanju </w:t>
      </w:r>
      <w:r w:rsidR="00A52434" w:rsidRPr="00A52434">
        <w:rPr>
          <w:rFonts w:ascii="Times New Roman" w:eastAsia="Times New Roman" w:hAnsi="Times New Roman" w:cs="Times New Roman"/>
          <w:sz w:val="24"/>
          <w:szCs w:val="24"/>
          <w:lang w:eastAsia="hr-HR"/>
        </w:rPr>
        <w:t>Oružanih snaga Re</w:t>
      </w:r>
      <w:r w:rsidR="00A524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publike Hrvatske u aktivnosti ojačane prednje prisutnosti NATO-a </w:t>
      </w:r>
      <w:r w:rsidR="00A52434" w:rsidRPr="00A52434">
        <w:rPr>
          <w:rFonts w:ascii="Times New Roman" w:eastAsia="Times New Roman" w:hAnsi="Times New Roman" w:cs="Times New Roman"/>
          <w:color w:val="000000"/>
          <w:sz w:val="24"/>
          <w:szCs w:val="24"/>
          <w:lang w:eastAsia="hr-HR" w:bidi="ta-IN"/>
        </w:rPr>
        <w:t xml:space="preserve">iz točke I. ove Odluke bit će dio Godišnjeg izvješća o obrani koje Vlada Republike Hrvatske podnosi Hrvatskome saboru. </w:t>
      </w:r>
    </w:p>
    <w:p w:rsidR="00541CA8" w:rsidRPr="00541CA8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CA8" w:rsidRDefault="00541CA8" w:rsidP="002B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035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:rsidR="00103544" w:rsidRPr="00103544" w:rsidRDefault="00103544" w:rsidP="002B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EB70EF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ta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 w:bidi="ta-IN"/>
        </w:rPr>
        <w:t>Ova Odluka stupa na sna</w:t>
      </w:r>
      <w:r w:rsidR="00550F88">
        <w:rPr>
          <w:rFonts w:ascii="Times New Roman" w:eastAsia="Times New Roman" w:hAnsi="Times New Roman" w:cs="Times New Roman"/>
          <w:sz w:val="24"/>
          <w:szCs w:val="24"/>
          <w:lang w:eastAsia="hr-HR" w:bidi="ta-IN"/>
        </w:rPr>
        <w:t>gu osmoga dana od dana objave u Narodnim novinama</w:t>
      </w:r>
      <w:r w:rsidR="00541CA8" w:rsidRPr="00541CA8">
        <w:rPr>
          <w:rFonts w:ascii="Times New Roman" w:eastAsia="Times New Roman" w:hAnsi="Times New Roman" w:cs="Times New Roman"/>
          <w:sz w:val="24"/>
          <w:szCs w:val="24"/>
          <w:lang w:eastAsia="hr-HR" w:bidi="ta-IN"/>
        </w:rPr>
        <w:t>.</w:t>
      </w:r>
    </w:p>
    <w:p w:rsidR="00541CA8" w:rsidRPr="00541CA8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 w:bidi="ta-IN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2660"/>
        <w:gridCol w:w="328"/>
        <w:gridCol w:w="3216"/>
        <w:gridCol w:w="3543"/>
        <w:gridCol w:w="1024"/>
      </w:tblGrid>
      <w:tr w:rsidR="00541CA8" w:rsidRPr="00541CA8" w:rsidTr="00883DD0">
        <w:tc>
          <w:tcPr>
            <w:tcW w:w="2660" w:type="dxa"/>
          </w:tcPr>
          <w:p w:rsidR="00541CA8" w:rsidRPr="00541CA8" w:rsidRDefault="00E714D7" w:rsidP="002B4CD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541C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Klasa: </w:t>
            </w:r>
            <w:r w:rsidRPr="00541CA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Zagreb,</w:t>
            </w:r>
          </w:p>
        </w:tc>
        <w:tc>
          <w:tcPr>
            <w:tcW w:w="3544" w:type="dxa"/>
            <w:gridSpan w:val="2"/>
          </w:tcPr>
          <w:p w:rsidR="00541CA8" w:rsidRPr="00541CA8" w:rsidRDefault="00541CA8" w:rsidP="002B4CD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541CA8" w:rsidRPr="00541CA8" w:rsidRDefault="00EB70EF" w:rsidP="002B4CD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</w:t>
            </w:r>
            <w:r w:rsidR="00541CA8" w:rsidRPr="00541C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HRVATSKI SABOR</w:t>
            </w:r>
          </w:p>
        </w:tc>
        <w:tc>
          <w:tcPr>
            <w:tcW w:w="4567" w:type="dxa"/>
            <w:gridSpan w:val="2"/>
          </w:tcPr>
          <w:p w:rsidR="00541CA8" w:rsidRPr="00541CA8" w:rsidRDefault="00541CA8" w:rsidP="002B4CD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541CA8" w:rsidRPr="00541CA8" w:rsidTr="00883DD0">
        <w:trPr>
          <w:gridAfter w:val="1"/>
          <w:wAfter w:w="1024" w:type="dxa"/>
        </w:trPr>
        <w:tc>
          <w:tcPr>
            <w:tcW w:w="2660" w:type="dxa"/>
          </w:tcPr>
          <w:p w:rsidR="00541CA8" w:rsidRPr="00541CA8" w:rsidRDefault="00541CA8" w:rsidP="002B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CA8" w:rsidRPr="00541CA8" w:rsidRDefault="00541CA8" w:rsidP="002B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41CA8" w:rsidRPr="00541CA8" w:rsidRDefault="00541CA8" w:rsidP="002B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8" w:type="dxa"/>
          </w:tcPr>
          <w:p w:rsidR="00541CA8" w:rsidRPr="00541CA8" w:rsidRDefault="00541CA8" w:rsidP="002B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759" w:type="dxa"/>
            <w:gridSpan w:val="2"/>
          </w:tcPr>
          <w:p w:rsidR="00541CA8" w:rsidRPr="00541CA8" w:rsidRDefault="00541CA8" w:rsidP="002B4C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103544" w:rsidRPr="00E714D7" w:rsidRDefault="00EB70EF" w:rsidP="002B4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</w:t>
            </w:r>
            <w:r w:rsidR="00F759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541CA8" w:rsidRPr="00E714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Predsjednik </w:t>
            </w:r>
          </w:p>
          <w:p w:rsidR="00541CA8" w:rsidRPr="00E714D7" w:rsidRDefault="00EB70EF" w:rsidP="002B4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</w:t>
            </w:r>
            <w:r w:rsidR="00103544" w:rsidRPr="00E714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41CA8" w:rsidRPr="00E714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Hrvatskoga sabora</w:t>
            </w:r>
          </w:p>
          <w:p w:rsidR="00541CA8" w:rsidRPr="00541CA8" w:rsidRDefault="00EB70EF" w:rsidP="00C266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             </w:t>
            </w:r>
            <w:r w:rsidR="00103544" w:rsidRPr="00E714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41CA8" w:rsidRPr="00E714D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Gordan Jandroković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:rsidR="00FB0A38" w:rsidRDefault="00FB0A38" w:rsidP="002B4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B0A38" w:rsidRDefault="00FB0A3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03544" w:rsidRDefault="00103544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CDB" w:rsidRDefault="002B4CDB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CDB" w:rsidRDefault="002B4CDB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CDB" w:rsidRDefault="002B4CDB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CDB" w:rsidRDefault="002B4CDB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CDB" w:rsidRDefault="002B4CDB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CDB" w:rsidRDefault="002B4CDB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B R A Z L O Ž E NJ E</w:t>
      </w:r>
    </w:p>
    <w:p w:rsidR="00541CA8" w:rsidRPr="00541CA8" w:rsidRDefault="00541CA8" w:rsidP="00541CA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52434" w:rsidRDefault="00541CA8" w:rsidP="00A5243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hr-HR" w:bidi="ta-IN"/>
        </w:rPr>
      </w:pPr>
      <w:r w:rsidRPr="00541CA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Točkom I.</w:t>
      </w:r>
      <w:r w:rsidR="00A5243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2261B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o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>dređuje se da Hrvatski sab</w:t>
      </w:r>
      <w:r w:rsidR="0010354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or donosi Odluku o sudjelovanju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>Oružanih snaga Republ</w:t>
      </w:r>
      <w:r w:rsidR="0088184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ike Hrvatske aktivnosti </w:t>
      </w:r>
      <w:r w:rsidR="003C4DA3">
        <w:rPr>
          <w:rFonts w:ascii="Times New Roman" w:eastAsia="MS Mincho" w:hAnsi="Times New Roman" w:cs="Times New Roman"/>
          <w:sz w:val="24"/>
          <w:szCs w:val="24"/>
          <w:lang w:eastAsia="ja-JP"/>
        </w:rPr>
        <w:t>o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jačane prednje prisutnosti </w:t>
      </w:r>
      <w:r w:rsidR="002261B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NATO-a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>u Republici Poljskoj. Pravni temelj za donošenje Odluke Hrvatskoga sabora je članak 7. stavak 5. Ustava Republike Hrvatske (Narodne novine, br. 85/10 – pročišćeni tekst i 5/14 – Odluka Ustavnog suda Republike Hrvatske</w:t>
      </w:r>
      <w:r w:rsidRPr="009F3756">
        <w:rPr>
          <w:rFonts w:ascii="Times New Roman" w:eastAsia="MS Mincho" w:hAnsi="Times New Roman" w:cs="Times New Roman"/>
          <w:sz w:val="24"/>
          <w:szCs w:val="24"/>
          <w:lang w:eastAsia="ja-JP"/>
        </w:rPr>
        <w:t>)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koji propisuje da Oružane snage Republike Hrvatske mogu prijeći njezine granice ili djelovati preko njezinih granica na temelju Odluke Hrvatskoga sabora, koju predlaže Vlada Republike Hrvatske, uz p</w:t>
      </w:r>
      <w:r w:rsidR="00B041CE">
        <w:rPr>
          <w:rFonts w:ascii="Times New Roman" w:eastAsia="MS Mincho" w:hAnsi="Times New Roman" w:cs="Times New Roman"/>
          <w:sz w:val="24"/>
          <w:szCs w:val="24"/>
          <w:lang w:eastAsia="ja-JP"/>
        </w:rPr>
        <w:t>rethodnu suglasnost Predsjednika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Republike Hrvatske. Zakon o obrani </w:t>
      </w:r>
      <w:r w:rsidR="00E0573C" w:rsidRPr="00C6571C">
        <w:rPr>
          <w:rFonts w:ascii="Times New Roman" w:hAnsi="Times New Roman" w:cs="Times New Roman"/>
          <w:color w:val="000000"/>
          <w:sz w:val="24"/>
          <w:szCs w:val="24"/>
        </w:rPr>
        <w:t>(Narodne novine, br. 73/13, 75/15, 27/16</w:t>
      </w:r>
      <w:r w:rsidR="00E0573C" w:rsidRPr="00C6571C">
        <w:rPr>
          <w:rFonts w:ascii="Times New Roman" w:hAnsi="Times New Roman" w:cs="Times New Roman"/>
          <w:sz w:val="24"/>
          <w:szCs w:val="24"/>
        </w:rPr>
        <w:t>, 110/17 – Odluka Ustavnog suda Republike Hrvatske,</w:t>
      </w:r>
      <w:r w:rsidR="00E0573C" w:rsidRPr="00C6571C">
        <w:rPr>
          <w:rFonts w:ascii="Times New Roman" w:hAnsi="Times New Roman" w:cs="Times New Roman"/>
          <w:color w:val="000000"/>
          <w:sz w:val="24"/>
          <w:szCs w:val="24"/>
        </w:rPr>
        <w:t xml:space="preserve"> 30/18</w:t>
      </w:r>
      <w:r w:rsidR="00E0573C" w:rsidRPr="00C6571C">
        <w:rPr>
          <w:rFonts w:ascii="Times New Roman" w:hAnsi="Times New Roman" w:cs="Times New Roman"/>
          <w:sz w:val="24"/>
          <w:szCs w:val="24"/>
        </w:rPr>
        <w:t xml:space="preserve"> i 70/19</w:t>
      </w:r>
      <w:r w:rsidR="00E0573C" w:rsidRPr="00C6571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41CA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 članku 54. stavku 2. na istovjetan način uređuje ovo područje.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>U sklopu</w:t>
      </w:r>
      <w:r w:rsidR="0053658C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 xml:space="preserve"> aktivnosti ojačane prednje prisutnosti NATO-a, u okviru</w:t>
      </w:r>
      <w:r w:rsidRPr="00541CA8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 xml:space="preserve"> borbene</w:t>
      </w:r>
      <w:r w:rsidR="00AD2315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 xml:space="preserve"> </w:t>
      </w:r>
      <w:r w:rsidR="0053658C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>skupine</w:t>
      </w:r>
      <w:r w:rsidRPr="00541CA8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 xml:space="preserve"> pod vodstvom Sjedinjenih Američkih Država</w:t>
      </w:r>
      <w:r w:rsidR="0053658C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>,</w:t>
      </w:r>
      <w:r w:rsidRPr="00541CA8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 xml:space="preserve"> u Republiku P</w:t>
      </w:r>
      <w:r w:rsidR="00AE3C1D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>oljsku u 2021</w:t>
      </w:r>
      <w:r w:rsidR="005415F4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>.</w:t>
      </w:r>
      <w:r w:rsidR="00103544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 xml:space="preserve"> godini</w:t>
      </w:r>
      <w:r w:rsidRPr="00541CA8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 xml:space="preserve"> </w:t>
      </w:r>
      <w:r w:rsidR="0053658C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 xml:space="preserve">upućuje se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>do</w:t>
      </w:r>
      <w:r w:rsidRPr="00881847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 xml:space="preserve"> </w:t>
      </w:r>
      <w:r w:rsidR="00216CD8" w:rsidRPr="00881847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>9</w:t>
      </w:r>
      <w:r w:rsidRPr="00881847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 xml:space="preserve">0 </w:t>
      </w:r>
      <w:r w:rsidRPr="00541CA8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>pripadnika Oružanih snaga Republike Hrvatske</w:t>
      </w:r>
      <w:r w:rsidR="0053658C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>,</w:t>
      </w:r>
      <w:r w:rsidRPr="00541CA8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 xml:space="preserve"> uz mogućnost rotacije</w:t>
      </w:r>
      <w:r w:rsidR="009975DC">
        <w:rPr>
          <w:rFonts w:ascii="Times New Roman" w:eastAsia="MS Mincho" w:hAnsi="Times New Roman" w:cs="Times New Roman"/>
          <w:sz w:val="24"/>
          <w:szCs w:val="24"/>
          <w:lang w:eastAsia="hr-HR" w:bidi="ta-IN"/>
        </w:rPr>
        <w:t>.</w:t>
      </w:r>
    </w:p>
    <w:p w:rsidR="00541CA8" w:rsidRPr="00A52434" w:rsidRDefault="00541CA8" w:rsidP="00A52434">
      <w:pPr>
        <w:pStyle w:val="t-9-8"/>
        <w:jc w:val="both"/>
        <w:rPr>
          <w:rFonts w:eastAsia="Times New Roman"/>
          <w:color w:val="000000"/>
          <w:lang w:eastAsia="hr-HR" w:bidi="ta-IN"/>
        </w:rPr>
      </w:pPr>
      <w:r w:rsidRPr="00541CA8">
        <w:rPr>
          <w:b/>
          <w:bCs/>
        </w:rPr>
        <w:t>Točkom II.</w:t>
      </w:r>
      <w:r w:rsidR="00EB70EF">
        <w:rPr>
          <w:bCs/>
        </w:rPr>
        <w:t xml:space="preserve"> </w:t>
      </w:r>
      <w:r w:rsidR="00A52434">
        <w:rPr>
          <w:color w:val="000000"/>
          <w:lang w:bidi="ta-IN"/>
        </w:rPr>
        <w:t>utvrđuje se da će i</w:t>
      </w:r>
      <w:r w:rsidR="00A52434" w:rsidRPr="00154F1B">
        <w:rPr>
          <w:color w:val="000000"/>
          <w:lang w:bidi="ta-IN"/>
        </w:rPr>
        <w:t xml:space="preserve">zvješće o sudjelovanju </w:t>
      </w:r>
      <w:r w:rsidR="00A52434" w:rsidRPr="00154F1B">
        <w:t>Oružanih snaga Re</w:t>
      </w:r>
      <w:r w:rsidR="00A52434">
        <w:t xml:space="preserve">publike Hrvatske u aktivnosti ojačane prednje prisutnosti NATO-a </w:t>
      </w:r>
      <w:r w:rsidR="00A52434" w:rsidRPr="00154F1B">
        <w:rPr>
          <w:color w:val="000000"/>
          <w:lang w:bidi="ta-IN"/>
        </w:rPr>
        <w:t xml:space="preserve">iz točke I. ove Odluke </w:t>
      </w:r>
      <w:r w:rsidR="00A52434">
        <w:rPr>
          <w:color w:val="000000"/>
          <w:lang w:bidi="ta-IN"/>
        </w:rPr>
        <w:t>biti dio G</w:t>
      </w:r>
      <w:r w:rsidR="00A52434" w:rsidRPr="00154F1B">
        <w:rPr>
          <w:color w:val="000000"/>
          <w:lang w:bidi="ta-IN"/>
        </w:rPr>
        <w:t>odi</w:t>
      </w:r>
      <w:r w:rsidR="00A52434">
        <w:rPr>
          <w:color w:val="000000"/>
          <w:lang w:bidi="ta-IN"/>
        </w:rPr>
        <w:t xml:space="preserve">šnjeg izvješća </w:t>
      </w:r>
      <w:r w:rsidR="00A52434" w:rsidRPr="00154F1B">
        <w:rPr>
          <w:color w:val="000000"/>
          <w:lang w:bidi="ta-IN"/>
        </w:rPr>
        <w:t xml:space="preserve">o obrani koje Vlada Republike Hrvatske </w:t>
      </w:r>
      <w:r w:rsidR="00A52434">
        <w:rPr>
          <w:color w:val="000000"/>
          <w:lang w:bidi="ta-IN"/>
        </w:rPr>
        <w:t xml:space="preserve">podnosi </w:t>
      </w:r>
      <w:r w:rsidR="00A52434" w:rsidRPr="00154F1B">
        <w:rPr>
          <w:color w:val="000000"/>
          <w:lang w:bidi="ta-IN"/>
        </w:rPr>
        <w:t>Hrvatskome sabor</w:t>
      </w:r>
      <w:r w:rsidR="00A52434">
        <w:rPr>
          <w:color w:val="000000"/>
          <w:lang w:bidi="ta-IN"/>
        </w:rPr>
        <w:t xml:space="preserve">u. </w:t>
      </w:r>
    </w:p>
    <w:p w:rsidR="00541CA8" w:rsidRPr="00541CA8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41CA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Točkom III.</w:t>
      </w:r>
      <w:r w:rsidR="00EB70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261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714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određuje se stupanje 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>na snagu</w:t>
      </w:r>
      <w:r w:rsidR="00C266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</w:t>
      </w:r>
      <w:r w:rsidRPr="00541CA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Odluke.</w:t>
      </w:r>
    </w:p>
    <w:p w:rsidR="00541CA8" w:rsidRPr="00541CA8" w:rsidRDefault="00541CA8" w:rsidP="002B4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439B8" w:rsidRDefault="00B439B8" w:rsidP="002B4CDB">
      <w:pPr>
        <w:spacing w:line="240" w:lineRule="auto"/>
      </w:pPr>
    </w:p>
    <w:sectPr w:rsidR="00B439B8" w:rsidSect="008D23ED">
      <w:headerReference w:type="even" r:id="rId9"/>
      <w:footerReference w:type="even" r:id="rId10"/>
      <w:footerReference w:type="default" r:id="rId11"/>
      <w:footerReference w:type="first" r:id="rId12"/>
      <w:pgSz w:w="12240" w:h="15840"/>
      <w:pgMar w:top="1417" w:right="1417" w:bottom="1417" w:left="1417" w:header="720" w:footer="720" w:gutter="0"/>
      <w:cols w:space="720"/>
      <w:noEndnote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78" w:rsidRDefault="00EC5378">
      <w:pPr>
        <w:spacing w:after="0" w:line="240" w:lineRule="auto"/>
      </w:pPr>
      <w:r>
        <w:separator/>
      </w:r>
    </w:p>
  </w:endnote>
  <w:endnote w:type="continuationSeparator" w:id="0">
    <w:p w:rsidR="00EC5378" w:rsidRDefault="00E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ED" w:rsidRDefault="00BC1D7A" w:rsidP="00020AE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3ED" w:rsidRDefault="00EC5378" w:rsidP="00020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638995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75EB" w:rsidRPr="00BF3D18" w:rsidRDefault="00E175E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F3D1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3D1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F3D1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70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3D1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175EB" w:rsidRDefault="00E175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5378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34DB" w:rsidRDefault="00B534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0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75EB" w:rsidRDefault="00E1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78" w:rsidRDefault="00EC5378">
      <w:pPr>
        <w:spacing w:after="0" w:line="240" w:lineRule="auto"/>
      </w:pPr>
      <w:r>
        <w:separator/>
      </w:r>
    </w:p>
  </w:footnote>
  <w:footnote w:type="continuationSeparator" w:id="0">
    <w:p w:rsidR="00EC5378" w:rsidRDefault="00EC5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3ED" w:rsidRDefault="00BC1D7A" w:rsidP="008D23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3ED" w:rsidRDefault="00EC5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4F56"/>
    <w:multiLevelType w:val="hybridMultilevel"/>
    <w:tmpl w:val="C006438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98F44F9"/>
    <w:multiLevelType w:val="hybridMultilevel"/>
    <w:tmpl w:val="6226D3FA"/>
    <w:lvl w:ilvl="0" w:tplc="041A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A8"/>
    <w:rsid w:val="00017744"/>
    <w:rsid w:val="0002497D"/>
    <w:rsid w:val="00046116"/>
    <w:rsid w:val="00084103"/>
    <w:rsid w:val="000936EF"/>
    <w:rsid w:val="000A4C9B"/>
    <w:rsid w:val="000D2C3B"/>
    <w:rsid w:val="000F0C4A"/>
    <w:rsid w:val="000F17BE"/>
    <w:rsid w:val="00103544"/>
    <w:rsid w:val="00106499"/>
    <w:rsid w:val="001072C8"/>
    <w:rsid w:val="001163A1"/>
    <w:rsid w:val="00124E2E"/>
    <w:rsid w:val="00127453"/>
    <w:rsid w:val="00180D4F"/>
    <w:rsid w:val="00195EA3"/>
    <w:rsid w:val="001D4FB6"/>
    <w:rsid w:val="001D6B14"/>
    <w:rsid w:val="001E376C"/>
    <w:rsid w:val="001E67E2"/>
    <w:rsid w:val="00207FE8"/>
    <w:rsid w:val="00216CD8"/>
    <w:rsid w:val="002261BB"/>
    <w:rsid w:val="0022653F"/>
    <w:rsid w:val="00231533"/>
    <w:rsid w:val="00241712"/>
    <w:rsid w:val="00244A02"/>
    <w:rsid w:val="00250B05"/>
    <w:rsid w:val="002545F1"/>
    <w:rsid w:val="00266381"/>
    <w:rsid w:val="002848AC"/>
    <w:rsid w:val="002861BE"/>
    <w:rsid w:val="002A3D3F"/>
    <w:rsid w:val="002B4CDB"/>
    <w:rsid w:val="002C53F7"/>
    <w:rsid w:val="00314CD2"/>
    <w:rsid w:val="00334DC9"/>
    <w:rsid w:val="00341DE8"/>
    <w:rsid w:val="00344D76"/>
    <w:rsid w:val="003545E8"/>
    <w:rsid w:val="00367A54"/>
    <w:rsid w:val="003827C5"/>
    <w:rsid w:val="00382BF5"/>
    <w:rsid w:val="003941AF"/>
    <w:rsid w:val="0039716A"/>
    <w:rsid w:val="003A718E"/>
    <w:rsid w:val="003B28D1"/>
    <w:rsid w:val="003B59A5"/>
    <w:rsid w:val="003C4DA3"/>
    <w:rsid w:val="003D559C"/>
    <w:rsid w:val="003F1254"/>
    <w:rsid w:val="0041145B"/>
    <w:rsid w:val="004144AA"/>
    <w:rsid w:val="0041547D"/>
    <w:rsid w:val="00417C3E"/>
    <w:rsid w:val="0043246D"/>
    <w:rsid w:val="004436D4"/>
    <w:rsid w:val="00446497"/>
    <w:rsid w:val="00464162"/>
    <w:rsid w:val="00470FAA"/>
    <w:rsid w:val="00490EA8"/>
    <w:rsid w:val="004D56BC"/>
    <w:rsid w:val="004F2775"/>
    <w:rsid w:val="004F2892"/>
    <w:rsid w:val="00521736"/>
    <w:rsid w:val="0053658C"/>
    <w:rsid w:val="005415F4"/>
    <w:rsid w:val="00541CA8"/>
    <w:rsid w:val="00550F88"/>
    <w:rsid w:val="00555235"/>
    <w:rsid w:val="00562160"/>
    <w:rsid w:val="00563EBD"/>
    <w:rsid w:val="00570039"/>
    <w:rsid w:val="005B2207"/>
    <w:rsid w:val="005B725C"/>
    <w:rsid w:val="005C0C98"/>
    <w:rsid w:val="0061496A"/>
    <w:rsid w:val="0065023E"/>
    <w:rsid w:val="00680B39"/>
    <w:rsid w:val="006C72EB"/>
    <w:rsid w:val="006D0365"/>
    <w:rsid w:val="006F6C42"/>
    <w:rsid w:val="006F75AE"/>
    <w:rsid w:val="007031C3"/>
    <w:rsid w:val="0071741A"/>
    <w:rsid w:val="007228FB"/>
    <w:rsid w:val="007230AB"/>
    <w:rsid w:val="00723EF7"/>
    <w:rsid w:val="0072420E"/>
    <w:rsid w:val="00724212"/>
    <w:rsid w:val="007256AB"/>
    <w:rsid w:val="00727575"/>
    <w:rsid w:val="007612EB"/>
    <w:rsid w:val="00770761"/>
    <w:rsid w:val="007751C2"/>
    <w:rsid w:val="007853F4"/>
    <w:rsid w:val="007C65E2"/>
    <w:rsid w:val="007C76D2"/>
    <w:rsid w:val="007E1E91"/>
    <w:rsid w:val="007E1F57"/>
    <w:rsid w:val="007E3E8D"/>
    <w:rsid w:val="0080650F"/>
    <w:rsid w:val="00806B10"/>
    <w:rsid w:val="00881847"/>
    <w:rsid w:val="00890F72"/>
    <w:rsid w:val="008A1EDB"/>
    <w:rsid w:val="008A5532"/>
    <w:rsid w:val="008D0359"/>
    <w:rsid w:val="008F29E9"/>
    <w:rsid w:val="009016B1"/>
    <w:rsid w:val="00902339"/>
    <w:rsid w:val="00924912"/>
    <w:rsid w:val="00970C87"/>
    <w:rsid w:val="009975DC"/>
    <w:rsid w:val="009B0482"/>
    <w:rsid w:val="009B7B6A"/>
    <w:rsid w:val="009C22F8"/>
    <w:rsid w:val="009D3B53"/>
    <w:rsid w:val="009E08FB"/>
    <w:rsid w:val="009F3756"/>
    <w:rsid w:val="00A0468C"/>
    <w:rsid w:val="00A27FE0"/>
    <w:rsid w:val="00A36976"/>
    <w:rsid w:val="00A42AC2"/>
    <w:rsid w:val="00A52434"/>
    <w:rsid w:val="00A76BFF"/>
    <w:rsid w:val="00AA7B76"/>
    <w:rsid w:val="00AB447D"/>
    <w:rsid w:val="00AC5245"/>
    <w:rsid w:val="00AD2315"/>
    <w:rsid w:val="00AD4222"/>
    <w:rsid w:val="00AE26F3"/>
    <w:rsid w:val="00AE3C1D"/>
    <w:rsid w:val="00AE4D8B"/>
    <w:rsid w:val="00AF2832"/>
    <w:rsid w:val="00B041CE"/>
    <w:rsid w:val="00B11303"/>
    <w:rsid w:val="00B13BF3"/>
    <w:rsid w:val="00B208EC"/>
    <w:rsid w:val="00B258F1"/>
    <w:rsid w:val="00B41D75"/>
    <w:rsid w:val="00B43445"/>
    <w:rsid w:val="00B439B8"/>
    <w:rsid w:val="00B534DB"/>
    <w:rsid w:val="00B80390"/>
    <w:rsid w:val="00B86AFC"/>
    <w:rsid w:val="00BC0EC0"/>
    <w:rsid w:val="00BC1D7A"/>
    <w:rsid w:val="00BD713C"/>
    <w:rsid w:val="00BE2200"/>
    <w:rsid w:val="00BF3D18"/>
    <w:rsid w:val="00C012E6"/>
    <w:rsid w:val="00C061C7"/>
    <w:rsid w:val="00C26692"/>
    <w:rsid w:val="00C45B66"/>
    <w:rsid w:val="00C464C4"/>
    <w:rsid w:val="00C6571C"/>
    <w:rsid w:val="00C96890"/>
    <w:rsid w:val="00CA5330"/>
    <w:rsid w:val="00CB0040"/>
    <w:rsid w:val="00CC6D71"/>
    <w:rsid w:val="00CC7859"/>
    <w:rsid w:val="00D20BD7"/>
    <w:rsid w:val="00D408EE"/>
    <w:rsid w:val="00D5070E"/>
    <w:rsid w:val="00D67D21"/>
    <w:rsid w:val="00D90E11"/>
    <w:rsid w:val="00DA1AEB"/>
    <w:rsid w:val="00DA2F17"/>
    <w:rsid w:val="00DB2738"/>
    <w:rsid w:val="00DE3939"/>
    <w:rsid w:val="00DF327E"/>
    <w:rsid w:val="00E0573C"/>
    <w:rsid w:val="00E06336"/>
    <w:rsid w:val="00E12F49"/>
    <w:rsid w:val="00E175EB"/>
    <w:rsid w:val="00E46C2F"/>
    <w:rsid w:val="00E52873"/>
    <w:rsid w:val="00E650D2"/>
    <w:rsid w:val="00E714D7"/>
    <w:rsid w:val="00E773A4"/>
    <w:rsid w:val="00E834BB"/>
    <w:rsid w:val="00E95C48"/>
    <w:rsid w:val="00EA5039"/>
    <w:rsid w:val="00EB3704"/>
    <w:rsid w:val="00EB60F2"/>
    <w:rsid w:val="00EB63F8"/>
    <w:rsid w:val="00EB70EF"/>
    <w:rsid w:val="00EC5378"/>
    <w:rsid w:val="00EC654C"/>
    <w:rsid w:val="00EE4417"/>
    <w:rsid w:val="00EE7A66"/>
    <w:rsid w:val="00F12E15"/>
    <w:rsid w:val="00F17735"/>
    <w:rsid w:val="00F25116"/>
    <w:rsid w:val="00F3043B"/>
    <w:rsid w:val="00F32124"/>
    <w:rsid w:val="00F4358E"/>
    <w:rsid w:val="00F44D34"/>
    <w:rsid w:val="00F47E73"/>
    <w:rsid w:val="00F5233F"/>
    <w:rsid w:val="00F525C6"/>
    <w:rsid w:val="00F65CB9"/>
    <w:rsid w:val="00F72B7C"/>
    <w:rsid w:val="00F7599F"/>
    <w:rsid w:val="00F820C8"/>
    <w:rsid w:val="00FA08A8"/>
    <w:rsid w:val="00FA562B"/>
    <w:rsid w:val="00FB0A38"/>
    <w:rsid w:val="00FB5981"/>
    <w:rsid w:val="00FC25C0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3429"/>
  <w15:docId w15:val="{8E6CD7E3-3214-41AA-A72B-B317156F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CA8"/>
  </w:style>
  <w:style w:type="paragraph" w:styleId="Header">
    <w:name w:val="header"/>
    <w:basedOn w:val="Normal"/>
    <w:link w:val="HeaderChar"/>
    <w:uiPriority w:val="99"/>
    <w:unhideWhenUsed/>
    <w:rsid w:val="0054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A8"/>
  </w:style>
  <w:style w:type="character" w:styleId="PageNumber">
    <w:name w:val="page number"/>
    <w:rsid w:val="00541CA8"/>
    <w:rPr>
      <w:rFonts w:cs="Times New Roman"/>
    </w:rPr>
  </w:style>
  <w:style w:type="character" w:customStyle="1" w:styleId="st">
    <w:name w:val="st"/>
    <w:basedOn w:val="DefaultParagraphFont"/>
    <w:rsid w:val="00A76BFF"/>
  </w:style>
  <w:style w:type="character" w:styleId="CommentReference">
    <w:name w:val="annotation reference"/>
    <w:basedOn w:val="DefaultParagraphFont"/>
    <w:uiPriority w:val="99"/>
    <w:semiHidden/>
    <w:unhideWhenUsed/>
    <w:rsid w:val="00D40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8E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08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3C1D"/>
    <w:pPr>
      <w:ind w:left="720"/>
      <w:contextualSpacing/>
    </w:pPr>
  </w:style>
  <w:style w:type="paragraph" w:customStyle="1" w:styleId="t-9-8">
    <w:name w:val="t-9-8"/>
    <w:basedOn w:val="Normal"/>
    <w:rsid w:val="00A5243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ox451808t-12-9-fett-spcenter-none-">
    <w:name w:val="box_451808 t-12-9-fett-s pcenter -none-"/>
    <w:basedOn w:val="Normal"/>
    <w:rsid w:val="0033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2CE9-AACC-49F0-9441-EC1A5228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i OS RH</Company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mdundovgalli</dc:creator>
  <cp:lastModifiedBy>Senada Džafović</cp:lastModifiedBy>
  <cp:revision>14</cp:revision>
  <cp:lastPrinted>2020-10-20T08:22:00Z</cp:lastPrinted>
  <dcterms:created xsi:type="dcterms:W3CDTF">2020-11-06T12:00:00Z</dcterms:created>
  <dcterms:modified xsi:type="dcterms:W3CDTF">2020-11-10T11:37:00Z</dcterms:modified>
</cp:coreProperties>
</file>